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根因分析报告模板</w:t>
      </w:r>
    </w:p>
    <w:p>
      <w:pPr>
        <w:jc w:val="center"/>
      </w:pPr>
      <w:r>
        <w:rPr>
          <w:color w:val="666666"/>
          <w:sz w:val="28"/>
        </w:rPr>
        <w:t>CMMI | 过程性能分析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根因分析报告模板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过程性能分析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问题根因分析报告模板，使用鱼骨图或5Why方法追溯问题根因。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请根据实际项目情况填写以下内容。本模板基于CMMI框架的过程性能分析过程编制，适用于相关项目管理活动。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本工具用于辅助过程性能分析过程，请按照CMMI框架的要求使用。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