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投资组合治理报告模板</w:t>
      </w:r>
    </w:p>
    <w:p>
      <w:pPr>
        <w:jc w:val="center"/>
      </w:pPr>
      <w:r>
        <w:rPr>
          <w:color w:val="666666"/>
          <w:sz w:val="28"/>
        </w:rPr>
        <w:t>SAFe | 投资组合治理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投资组合治理报告模板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投资组合治理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投资组合治理决策报告模板，记录关键决策、审批状态和战略一致性评估。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请根据实际项目情况填写以下内容。本模板基于SAFe框架的投资组合治理过程编制，适用于相关项目管理活动。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本输出物是投资组合治理过程的关键交付物，应按照SAFe框架的要求进行编制。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