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变更请求表单</w:t>
      </w:r>
    </w:p>
    <w:p/>
    <w:p/>
    <w:p>
      <w:pPr>
        <w:jc w:val="center"/>
      </w:pPr>
      <w:r>
        <w:rPr>
          <w:color w:val="646464"/>
          <w:sz w:val="28"/>
        </w:rPr>
        <w:t>提交项目变更请求的标准表单，记录变更内容、原因、影响评估等信息。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本文档旨在为实施整体变更控制提供标准化的工作指导和模板。</w:t>
      </w:r>
    </w:p>
    <w:p>
      <w:r>
        <w:t>适用范围：本文档适用于PMBOK指南框架下的实施整体变更控制相关活动。</w:t>
      </w:r>
    </w:p>
    <w:p>
      <w:pPr>
        <w:pStyle w:val="Heading1"/>
      </w:pPr>
      <w:r>
        <w:t>2. 背景</w:t>
      </w:r>
    </w:p>
    <w:p>
      <w:r>
        <w:t>本文档基于PMBOK指南框架的实施整体变更控制过程编制。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