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弹回计划模板</w:t>
      </w:r>
    </w:p>
    <w:p/>
    <w:p/>
    <w:p>
      <w:pPr>
        <w:jc w:val="center"/>
      </w:pPr>
      <w:r>
        <w:rPr>
          <w:color w:val="646464"/>
          <w:sz w:val="28"/>
        </w:rPr>
        <w:t>当主应对策略失效时使用的弹回计划模板。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本文档旨在为规划风险应对提供标准化的工作指导和模板。</w:t>
      </w:r>
    </w:p>
    <w:p>
      <w:r>
        <w:t>适用范围：本文档适用于PMBOK指南框架下的规划风险应对相关活动。</w:t>
      </w:r>
    </w:p>
    <w:p>
      <w:pPr>
        <w:pStyle w:val="Heading1"/>
      </w:pPr>
      <w:r>
        <w:t>2. 背景</w:t>
      </w:r>
    </w:p>
    <w:p>
      <w:r>
        <w:t>本文档基于PMBOK指南框架的规划风险应对过程编制。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