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合同模板（固定总价）</w:t>
      </w:r>
    </w:p>
    <w:p/>
    <w:p/>
    <w:p>
      <w:pPr>
        <w:jc w:val="center"/>
      </w:pPr>
      <w:r>
        <w:rPr>
          <w:color w:val="646464"/>
          <w:sz w:val="28"/>
        </w:rPr>
        <w:t>固定总价合同的标准模板，明确买卖双方权利义务。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本文档旨在为实施采购提供标准化的工作指导和模板。</w:t>
      </w:r>
    </w:p>
    <w:p>
      <w:r>
        <w:t>适用范围：本文档适用于PMBOK指南框架下的实施采购相关活动。</w:t>
      </w:r>
    </w:p>
    <w:p>
      <w:pPr>
        <w:pStyle w:val="Heading1"/>
      </w:pPr>
      <w:r>
        <w:t>2. 背景</w:t>
      </w:r>
    </w:p>
    <w:p>
      <w:r>
        <w:t>本文档基于PMBOK指南框架的实施采购过程编制。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