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产品退市计划模板</w:t>
      </w:r>
    </w:p>
    <w:p/>
    <w:p/>
    <w:p>
      <w:pPr>
        <w:jc w:val="center"/>
      </w:pPr>
      <w:r>
        <w:rPr>
          <w:color w:val="646464"/>
          <w:sz w:val="28"/>
        </w:rPr>
        <w:t>规划产品退市过程和客户迁移的计划模板。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本文档旨在为营销策略制定提供标准化的工作指导和模板。</w:t>
      </w:r>
    </w:p>
    <w:p>
      <w:r>
        <w:t>适用范围：本文档适用于NPDP产品开发框架下的营销策略制定相关活动。</w:t>
      </w:r>
    </w:p>
    <w:p>
      <w:pPr>
        <w:pStyle w:val="Heading1"/>
      </w:pPr>
      <w:r>
        <w:t>2. 背景</w:t>
      </w:r>
    </w:p>
    <w:p>
      <w:r>
        <w:t>本文档基于NPDP产品开发框架的营销策略制定过程编制。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